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5B2F" w14:textId="6ED358E9" w:rsidR="00F24784" w:rsidRDefault="00F24784" w:rsidP="00F24784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 Committee Read Ahead</w:t>
      </w:r>
      <w:r>
        <w:rPr>
          <w:b/>
          <w:bCs/>
          <w:u w:val="single"/>
        </w:rPr>
        <w:t xml:space="preserve">: </w:t>
      </w:r>
      <w:r w:rsidR="00511A0C">
        <w:rPr>
          <w:b/>
          <w:bCs/>
          <w:u w:val="single"/>
        </w:rPr>
        <w:t>December</w:t>
      </w:r>
      <w:r w:rsidRPr="003C7123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27F9B3CF" w14:textId="4D91F142" w:rsidR="0059285D" w:rsidRDefault="0059285D" w:rsidP="00F24784">
      <w:pPr>
        <w:spacing w:line="240" w:lineRule="auto"/>
        <w:contextualSpacing/>
        <w:rPr>
          <w:b/>
          <w:bCs/>
          <w:u w:val="single"/>
        </w:rPr>
      </w:pPr>
    </w:p>
    <w:p w14:paraId="39C4C0BE" w14:textId="71B63E1F" w:rsidR="00215BD1" w:rsidRDefault="00215BD1" w:rsidP="00E83C9D">
      <w:pPr>
        <w:spacing w:line="240" w:lineRule="auto"/>
        <w:contextualSpacing/>
      </w:pPr>
      <w:r w:rsidRPr="00215BD1">
        <w:t>Committee web site</w:t>
      </w:r>
      <w:r w:rsidR="00847128">
        <w:t xml:space="preserve">: </w:t>
      </w:r>
      <w:hyperlink r:id="rId5" w:history="1">
        <w:r w:rsidR="00847128" w:rsidRPr="00847128">
          <w:rPr>
            <w:color w:val="0000FF"/>
            <w:u w:val="single"/>
          </w:rPr>
          <w:t>https://parking.virginia.edu/transportation-and-parking-committee-notes-and-membership</w:t>
        </w:r>
      </w:hyperlink>
    </w:p>
    <w:p w14:paraId="67FC9518" w14:textId="77777777" w:rsidR="00215BD1" w:rsidRDefault="00215BD1" w:rsidP="00E83C9D">
      <w:pPr>
        <w:spacing w:line="240" w:lineRule="auto"/>
        <w:contextualSpacing/>
      </w:pPr>
    </w:p>
    <w:p w14:paraId="29C97BA3" w14:textId="133D8284" w:rsidR="00F24784" w:rsidRDefault="00F24784" w:rsidP="00E83C9D">
      <w:pPr>
        <w:spacing w:line="240" w:lineRule="auto"/>
      </w:pPr>
      <w:r>
        <w:t xml:space="preserve">Parking demand trends as of </w:t>
      </w:r>
      <w:r w:rsidR="007963EA">
        <w:t>December</w:t>
      </w:r>
      <w:r>
        <w:t xml:space="preserve"> </w:t>
      </w:r>
      <w:r w:rsidR="00293A6D">
        <w:t>1</w:t>
      </w:r>
      <w:r w:rsidR="007963EA">
        <w:t>3</w:t>
      </w:r>
      <w:r w:rsidR="00293A6D">
        <w:t xml:space="preserve">, </w:t>
      </w:r>
      <w:r>
        <w:t>2021:</w:t>
      </w:r>
    </w:p>
    <w:p w14:paraId="2AC04B0A" w14:textId="77777777" w:rsidR="00D6043F" w:rsidRDefault="003040CB" w:rsidP="00E83C9D">
      <w:pPr>
        <w:pStyle w:val="ListParagraph"/>
        <w:numPr>
          <w:ilvl w:val="0"/>
          <w:numId w:val="3"/>
        </w:numPr>
        <w:spacing w:line="240" w:lineRule="auto"/>
      </w:pPr>
      <w:r>
        <w:t>Academic a</w:t>
      </w:r>
      <w:r w:rsidR="00293A6D">
        <w:t xml:space="preserve">nnual reserved permit holders– </w:t>
      </w:r>
      <w:r w:rsidR="001F3571">
        <w:t>80</w:t>
      </w:r>
      <w:r w:rsidR="00293A6D">
        <w:t xml:space="preserve">% of </w:t>
      </w:r>
      <w:r w:rsidR="00971210">
        <w:t>pre-COVID demand</w:t>
      </w:r>
      <w:r w:rsidR="007F33CF">
        <w:t xml:space="preserve"> (</w:t>
      </w:r>
      <w:r w:rsidR="001F3571">
        <w:t>75</w:t>
      </w:r>
      <w:r w:rsidR="0057246B">
        <w:t xml:space="preserve">% </w:t>
      </w:r>
      <w:r w:rsidR="007F33CF">
        <w:t>in September 2021)</w:t>
      </w:r>
      <w:r w:rsidR="00D6043F">
        <w:t>:</w:t>
      </w:r>
    </w:p>
    <w:p w14:paraId="0A3EF5AA" w14:textId="77777777" w:rsidR="00D6043F" w:rsidRDefault="00BD427B" w:rsidP="00D6043F">
      <w:pPr>
        <w:pStyle w:val="ListParagraph"/>
        <w:numPr>
          <w:ilvl w:val="1"/>
          <w:numId w:val="3"/>
        </w:numPr>
        <w:spacing w:line="240" w:lineRule="auto"/>
      </w:pPr>
      <w:r>
        <w:t xml:space="preserve">Waiting list releases </w:t>
      </w:r>
      <w:r w:rsidR="00903B33">
        <w:t xml:space="preserve">are underway </w:t>
      </w:r>
      <w:r>
        <w:t>in several lots across grounds</w:t>
      </w:r>
      <w:r w:rsidR="006D6325">
        <w:t xml:space="preserve">. </w:t>
      </w:r>
    </w:p>
    <w:p w14:paraId="13A12FFA" w14:textId="7CBDF375" w:rsidR="009E039C" w:rsidRDefault="00881CEA" w:rsidP="00D6043F">
      <w:pPr>
        <w:pStyle w:val="ListParagraph"/>
        <w:numPr>
          <w:ilvl w:val="1"/>
          <w:numId w:val="3"/>
        </w:numPr>
        <w:spacing w:line="240" w:lineRule="auto"/>
      </w:pPr>
      <w:r>
        <w:t>In the locations that were combined for efficiency</w:t>
      </w:r>
      <w:r w:rsidR="00464D15">
        <w:t>, impact on</w:t>
      </w:r>
      <w:r w:rsidR="00AE57A3">
        <w:t xml:space="preserve"> </w:t>
      </w:r>
      <w:r w:rsidR="00C92D6D">
        <w:t xml:space="preserve">number one person’s </w:t>
      </w:r>
      <w:r w:rsidR="00464D15">
        <w:t>date</w:t>
      </w:r>
      <w:r w:rsidR="00AE57A3">
        <w:t>-</w:t>
      </w:r>
      <w:r w:rsidR="00464D15">
        <w:t xml:space="preserve">listed </w:t>
      </w:r>
      <w:r w:rsidR="00624F4F">
        <w:t xml:space="preserve">before and </w:t>
      </w:r>
      <w:r w:rsidR="00464D15">
        <w:t xml:space="preserve">since </w:t>
      </w:r>
      <w:r w:rsidR="00624F4F">
        <w:t xml:space="preserve">waiting list </w:t>
      </w:r>
      <w:r w:rsidR="00464D15">
        <w:t>release</w:t>
      </w:r>
      <w:r w:rsidR="00624F4F">
        <w:t>s</w:t>
      </w:r>
      <w:r w:rsidR="009E039C">
        <w:t>:</w:t>
      </w:r>
    </w:p>
    <w:p w14:paraId="7585DA8F" w14:textId="4E700768" w:rsidR="003A2417" w:rsidRDefault="009E039C" w:rsidP="009E039C">
      <w:pPr>
        <w:pStyle w:val="ListParagraph"/>
        <w:numPr>
          <w:ilvl w:val="2"/>
          <w:numId w:val="3"/>
        </w:numPr>
        <w:spacing w:line="240" w:lineRule="auto"/>
      </w:pPr>
      <w:r>
        <w:t>E3 -</w:t>
      </w:r>
      <w:r w:rsidR="00464D15">
        <w:t xml:space="preserve"> N</w:t>
      </w:r>
      <w:r>
        <w:t xml:space="preserve">umber one person listed in Fall </w:t>
      </w:r>
      <w:r w:rsidR="0092737B">
        <w:t>2018</w:t>
      </w:r>
      <w:r w:rsidR="003A2417">
        <w:t xml:space="preserve"> versus </w:t>
      </w:r>
      <w:r w:rsidR="001A62DE">
        <w:t xml:space="preserve">February 2021 </w:t>
      </w:r>
      <w:r w:rsidR="003A2417">
        <w:t>now</w:t>
      </w:r>
      <w:r w:rsidR="00762516">
        <w:t>.</w:t>
      </w:r>
    </w:p>
    <w:p w14:paraId="15913F78" w14:textId="2D4C964F" w:rsidR="0057246B" w:rsidRDefault="003A2417" w:rsidP="009E039C">
      <w:pPr>
        <w:pStyle w:val="ListParagraph"/>
        <w:numPr>
          <w:ilvl w:val="2"/>
          <w:numId w:val="3"/>
        </w:numPr>
        <w:spacing w:line="240" w:lineRule="auto"/>
      </w:pPr>
      <w:r>
        <w:t>E1</w:t>
      </w:r>
      <w:r w:rsidR="00762516">
        <w:t xml:space="preserve"> - </w:t>
      </w:r>
      <w:r>
        <w:t xml:space="preserve">Number one person listed </w:t>
      </w:r>
      <w:r w:rsidR="00660BDB">
        <w:t>Fall 2018</w:t>
      </w:r>
      <w:r>
        <w:t xml:space="preserve"> versus </w:t>
      </w:r>
      <w:r w:rsidR="00762516">
        <w:t>August 2021 now.</w:t>
      </w:r>
    </w:p>
    <w:p w14:paraId="09488E3F" w14:textId="0DF8B4D1" w:rsidR="00740614" w:rsidRDefault="00740614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Health System annual reserved permit holders </w:t>
      </w:r>
      <w:r w:rsidR="00C94C96">
        <w:t>–</w:t>
      </w:r>
      <w:r>
        <w:t xml:space="preserve"> </w:t>
      </w:r>
      <w:r w:rsidR="00C94C96">
        <w:t>100%</w:t>
      </w:r>
      <w:r w:rsidR="00023B3A">
        <w:t xml:space="preserve">, </w:t>
      </w:r>
      <w:r w:rsidR="00C94C96">
        <w:t xml:space="preserve">same as </w:t>
      </w:r>
      <w:r w:rsidR="000E1E32">
        <w:t>pre-COVID demand.</w:t>
      </w:r>
    </w:p>
    <w:p w14:paraId="2A1B82BF" w14:textId="57EDB795" w:rsidR="003040CB" w:rsidRDefault="00572A26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Annual low-cost permit holders </w:t>
      </w:r>
      <w:r w:rsidR="00644CE9">
        <w:t>–</w:t>
      </w:r>
      <w:r>
        <w:t xml:space="preserve"> </w:t>
      </w:r>
      <w:r w:rsidR="00506D81">
        <w:t>66</w:t>
      </w:r>
      <w:r w:rsidR="00644CE9">
        <w:t xml:space="preserve">% of </w:t>
      </w:r>
      <w:r w:rsidR="000E1E32">
        <w:t>pre-COVID demand</w:t>
      </w:r>
      <w:r w:rsidR="00D5529D">
        <w:t xml:space="preserve"> (</w:t>
      </w:r>
      <w:r w:rsidR="00644CE9">
        <w:t>5</w:t>
      </w:r>
      <w:r w:rsidR="00D525C4">
        <w:t>8</w:t>
      </w:r>
      <w:r w:rsidR="00644CE9">
        <w:t xml:space="preserve">% </w:t>
      </w:r>
      <w:r w:rsidR="00D5529D">
        <w:t>in September 2021).</w:t>
      </w:r>
    </w:p>
    <w:p w14:paraId="0F94D06E" w14:textId="2B9841C8" w:rsidR="006751E0" w:rsidRDefault="006751E0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Student Residential Permits </w:t>
      </w:r>
      <w:r w:rsidR="000825F1">
        <w:t>–</w:t>
      </w:r>
      <w:r w:rsidR="00651B7D">
        <w:t xml:space="preserve"> T</w:t>
      </w:r>
      <w:r w:rsidR="00E83C9D">
        <w:t>rending to</w:t>
      </w:r>
      <w:r w:rsidR="002F47B0">
        <w:t xml:space="preserve"> 100% of </w:t>
      </w:r>
      <w:r w:rsidR="00E83C9D">
        <w:t>pre-COVID levels.</w:t>
      </w:r>
    </w:p>
    <w:p w14:paraId="4593EF15" w14:textId="0872B886" w:rsidR="00BD427B" w:rsidRDefault="000825F1" w:rsidP="00BD427B">
      <w:pPr>
        <w:pStyle w:val="ListParagraph"/>
        <w:numPr>
          <w:ilvl w:val="0"/>
          <w:numId w:val="3"/>
        </w:numPr>
        <w:spacing w:line="240" w:lineRule="auto"/>
      </w:pPr>
      <w:r>
        <w:t xml:space="preserve">Hourly/Daily/Multi-Day </w:t>
      </w:r>
      <w:r w:rsidR="007E32CC">
        <w:t>–</w:t>
      </w:r>
      <w:r w:rsidR="00370567">
        <w:t xml:space="preserve"> </w:t>
      </w:r>
      <w:r w:rsidR="00D5529D">
        <w:t>No change since September 2021. However,</w:t>
      </w:r>
      <w:r w:rsidR="00E23E75">
        <w:t xml:space="preserve"> </w:t>
      </w:r>
      <w:r w:rsidR="00F83433">
        <w:t xml:space="preserve">after meetings with the Graduate Student Council, </w:t>
      </w:r>
      <w:r w:rsidR="00E23E75">
        <w:t xml:space="preserve">hourly access to E3 </w:t>
      </w:r>
      <w:r w:rsidR="00D5529D">
        <w:t xml:space="preserve">was </w:t>
      </w:r>
      <w:r w:rsidR="00E23E75">
        <w:t xml:space="preserve">restored </w:t>
      </w:r>
      <w:r w:rsidR="00B92E3B">
        <w:t xml:space="preserve">during academic session </w:t>
      </w:r>
      <w:r w:rsidR="00E23E75">
        <w:t xml:space="preserve">after 2:30PM and all-day </w:t>
      </w:r>
      <w:r w:rsidR="00B92E3B">
        <w:t>between academic sessions</w:t>
      </w:r>
      <w:r w:rsidR="00E23E75">
        <w:t>.</w:t>
      </w:r>
    </w:p>
    <w:p w14:paraId="783EAB31" w14:textId="27562F25" w:rsidR="00F24784" w:rsidRDefault="00F24784" w:rsidP="00F24784">
      <w:pPr>
        <w:spacing w:line="240" w:lineRule="auto"/>
        <w:contextualSpacing/>
      </w:pPr>
      <w:r>
        <w:t xml:space="preserve">University Transit Service (UTS) </w:t>
      </w:r>
      <w:r w:rsidR="0099556B">
        <w:t xml:space="preserve">and Safe Ride </w:t>
      </w:r>
      <w:r w:rsidR="00F05E89">
        <w:t xml:space="preserve">as of December 13, </w:t>
      </w:r>
      <w:r>
        <w:t>2021:</w:t>
      </w:r>
    </w:p>
    <w:p w14:paraId="3355A182" w14:textId="6BF8F153" w:rsidR="00862C22" w:rsidRDefault="00B92E3B" w:rsidP="003414B4">
      <w:pPr>
        <w:pStyle w:val="ListParagraph"/>
        <w:numPr>
          <w:ilvl w:val="0"/>
          <w:numId w:val="3"/>
        </w:numPr>
        <w:spacing w:line="240" w:lineRule="auto"/>
      </w:pPr>
      <w:r>
        <w:t>F</w:t>
      </w:r>
      <w:r w:rsidR="00C954D6">
        <w:t xml:space="preserve">ederal </w:t>
      </w:r>
      <w:r>
        <w:t xml:space="preserve">masking </w:t>
      </w:r>
      <w:r w:rsidR="00C954D6">
        <w:t xml:space="preserve">restrictions </w:t>
      </w:r>
      <w:r>
        <w:t xml:space="preserve">on public transit </w:t>
      </w:r>
      <w:r w:rsidR="00862C22">
        <w:t xml:space="preserve">recently </w:t>
      </w:r>
      <w:r w:rsidR="00C954D6">
        <w:t xml:space="preserve">extended </w:t>
      </w:r>
      <w:r w:rsidR="003A47A3">
        <w:t xml:space="preserve">to </w:t>
      </w:r>
      <w:r>
        <w:t>March</w:t>
      </w:r>
      <w:r w:rsidR="00C954D6">
        <w:t xml:space="preserve"> </w:t>
      </w:r>
      <w:r w:rsidR="00CB69DB">
        <w:t xml:space="preserve">18, </w:t>
      </w:r>
      <w:r w:rsidR="00C954D6">
        <w:t>2022</w:t>
      </w:r>
      <w:r w:rsidR="00862C22">
        <w:t>.</w:t>
      </w:r>
    </w:p>
    <w:p w14:paraId="4ECF08AE" w14:textId="61B3ADCE" w:rsidR="003A47A3" w:rsidRDefault="003A47A3" w:rsidP="003414B4">
      <w:pPr>
        <w:pStyle w:val="ListParagraph"/>
        <w:numPr>
          <w:ilvl w:val="0"/>
          <w:numId w:val="3"/>
        </w:numPr>
        <w:spacing w:line="240" w:lineRule="auto"/>
      </w:pPr>
      <w:r>
        <w:t xml:space="preserve">Several </w:t>
      </w:r>
      <w:r w:rsidR="00F05CD3">
        <w:t xml:space="preserve">UTS </w:t>
      </w:r>
      <w:r>
        <w:t xml:space="preserve">operational changes were implemented on </w:t>
      </w:r>
      <w:r w:rsidR="00AB2629">
        <w:t>November 29, 2</w:t>
      </w:r>
      <w:r>
        <w:t>021:</w:t>
      </w:r>
    </w:p>
    <w:p w14:paraId="449BF8EA" w14:textId="1848F910" w:rsidR="006678A9" w:rsidRDefault="006678A9" w:rsidP="003A47A3">
      <w:pPr>
        <w:pStyle w:val="ListParagraph"/>
        <w:numPr>
          <w:ilvl w:val="1"/>
          <w:numId w:val="3"/>
        </w:numPr>
        <w:spacing w:line="240" w:lineRule="auto"/>
      </w:pPr>
      <w:r>
        <w:t>B</w:t>
      </w:r>
      <w:r w:rsidR="00862C22">
        <w:t xml:space="preserve">oarding </w:t>
      </w:r>
      <w:r w:rsidR="00835C95">
        <w:t xml:space="preserve">capacity </w:t>
      </w:r>
      <w:r>
        <w:t>restored to 100%</w:t>
      </w:r>
      <w:r w:rsidR="00AB2629">
        <w:t xml:space="preserve"> (cleared with UVA Health)</w:t>
      </w:r>
      <w:r>
        <w:t>.</w:t>
      </w:r>
    </w:p>
    <w:p w14:paraId="3500FC77" w14:textId="008E24B3" w:rsidR="00367480" w:rsidRDefault="006678A9" w:rsidP="003A47A3">
      <w:pPr>
        <w:pStyle w:val="ListParagraph"/>
        <w:numPr>
          <w:ilvl w:val="1"/>
          <w:numId w:val="3"/>
        </w:numPr>
        <w:spacing w:line="240" w:lineRule="auto"/>
      </w:pPr>
      <w:r>
        <w:t>F</w:t>
      </w:r>
      <w:r w:rsidR="00862C22">
        <w:t xml:space="preserve">ront door </w:t>
      </w:r>
      <w:r w:rsidR="003A47A3">
        <w:t>loading</w:t>
      </w:r>
      <w:r>
        <w:t xml:space="preserve"> restarted</w:t>
      </w:r>
      <w:r w:rsidR="00AB2629">
        <w:t xml:space="preserve"> (cleared with UVA Health)</w:t>
      </w:r>
      <w:r w:rsidR="00596730">
        <w:t>.</w:t>
      </w:r>
    </w:p>
    <w:p w14:paraId="69FA747D" w14:textId="2B95EE0D" w:rsidR="00E067B4" w:rsidRDefault="00E067B4" w:rsidP="00F05CD3">
      <w:pPr>
        <w:pStyle w:val="ListParagraph"/>
        <w:numPr>
          <w:ilvl w:val="1"/>
          <w:numId w:val="3"/>
        </w:numPr>
        <w:spacing w:line="240" w:lineRule="auto"/>
      </w:pPr>
      <w:r>
        <w:t xml:space="preserve">Monroe/Garrett bus stop </w:t>
      </w:r>
      <w:r w:rsidR="00CA33C9">
        <w:t xml:space="preserve">restored </w:t>
      </w:r>
      <w:r>
        <w:t>during the hours UTS is serving McCormick Road.</w:t>
      </w:r>
    </w:p>
    <w:p w14:paraId="2AD8F385" w14:textId="68B3C0FE" w:rsidR="00F05CD3" w:rsidRDefault="00F05CD3" w:rsidP="00CA33C9">
      <w:pPr>
        <w:pStyle w:val="ListParagraph"/>
        <w:numPr>
          <w:ilvl w:val="1"/>
          <w:numId w:val="3"/>
        </w:numPr>
        <w:spacing w:line="240" w:lineRule="auto"/>
      </w:pPr>
      <w:r>
        <w:t xml:space="preserve">Bavaro/Central Grounds </w:t>
      </w:r>
      <w:r w:rsidR="00CA33C9">
        <w:t xml:space="preserve">shared </w:t>
      </w:r>
      <w:r>
        <w:t>bus stop</w:t>
      </w:r>
      <w:r w:rsidR="00CA33C9">
        <w:t xml:space="preserve"> relocated about 250’ south</w:t>
      </w:r>
      <w:r w:rsidR="006678A9">
        <w:t xml:space="preserve"> due to construction</w:t>
      </w:r>
      <w:r w:rsidR="00CA33C9">
        <w:t>.</w:t>
      </w:r>
      <w:r>
        <w:t xml:space="preserve"> </w:t>
      </w:r>
    </w:p>
    <w:p w14:paraId="495DB767" w14:textId="5CDFCE43" w:rsidR="00014DF3" w:rsidRDefault="00014DF3" w:rsidP="003414B4">
      <w:pPr>
        <w:pStyle w:val="ListParagraph"/>
        <w:numPr>
          <w:ilvl w:val="0"/>
          <w:numId w:val="3"/>
        </w:numPr>
        <w:spacing w:line="240" w:lineRule="auto"/>
      </w:pPr>
      <w:r>
        <w:t>UTS Service Hours on Academic Routes vary through exams, academic break, and J-Term</w:t>
      </w:r>
      <w:r w:rsidR="00CA6CDD">
        <w:t xml:space="preserve">: </w:t>
      </w:r>
      <w:hyperlink r:id="rId6" w:history="1">
        <w:r w:rsidR="00CA6CDD" w:rsidRPr="00124F50">
          <w:rPr>
            <w:rStyle w:val="Hyperlink"/>
          </w:rPr>
          <w:t>https://parking.virginia.edu/service-schedule</w:t>
        </w:r>
      </w:hyperlink>
    </w:p>
    <w:p w14:paraId="475D5392" w14:textId="36363548" w:rsidR="00DA2CBD" w:rsidRDefault="00AF05BD" w:rsidP="00DA2CBD">
      <w:pPr>
        <w:pStyle w:val="ListParagraph"/>
        <w:numPr>
          <w:ilvl w:val="0"/>
          <w:numId w:val="3"/>
        </w:numPr>
        <w:spacing w:line="240" w:lineRule="auto"/>
      </w:pPr>
      <w:r>
        <w:t xml:space="preserve">Kimley-Horn </w:t>
      </w:r>
      <w:r w:rsidR="000A366B">
        <w:t>conducted an evaluation of transit on McCormick Road in the near term</w:t>
      </w:r>
      <w:r w:rsidR="00A05D8F">
        <w:t>. Results pending</w:t>
      </w:r>
      <w:r w:rsidR="000A366B">
        <w:t>.</w:t>
      </w:r>
      <w:r w:rsidR="00DA2CBD">
        <w:t xml:space="preserve"> </w:t>
      </w:r>
    </w:p>
    <w:p w14:paraId="58A6D542" w14:textId="3E273065" w:rsidR="00D85D97" w:rsidRDefault="00A7094C" w:rsidP="00D85D97">
      <w:pPr>
        <w:pStyle w:val="ListParagraph"/>
        <w:numPr>
          <w:ilvl w:val="0"/>
          <w:numId w:val="3"/>
        </w:numPr>
        <w:spacing w:line="240" w:lineRule="auto"/>
      </w:pPr>
      <w:r>
        <w:t>Service package for Spring 2022 is TBD. P&amp;T is working with several student groups on possible adjustments to address this semester’s feedback on UTS daytime frequency and Safe Ride response times</w:t>
      </w:r>
      <w:r w:rsidR="00362E9E">
        <w:t>.</w:t>
      </w:r>
      <w:r w:rsidR="00D85D97" w:rsidRPr="00D85D97">
        <w:t xml:space="preserve"> </w:t>
      </w:r>
      <w:r w:rsidR="00D85D97">
        <w:t>During academic session, weekday service is expected to remain on Whitehead Road.</w:t>
      </w:r>
    </w:p>
    <w:p w14:paraId="5819DF89" w14:textId="1E0B5B0F" w:rsidR="004A1867" w:rsidRDefault="004A1867" w:rsidP="003414B4">
      <w:pPr>
        <w:pStyle w:val="ListParagraph"/>
        <w:numPr>
          <w:ilvl w:val="0"/>
          <w:numId w:val="3"/>
        </w:numPr>
        <w:spacing w:line="240" w:lineRule="auto"/>
      </w:pPr>
      <w:r>
        <w:t xml:space="preserve">Bus driver </w:t>
      </w:r>
      <w:r w:rsidR="00367480">
        <w:t xml:space="preserve">shortage </w:t>
      </w:r>
      <w:r w:rsidR="007B3BBB">
        <w:t>continues</w:t>
      </w:r>
      <w:r w:rsidR="005A1C84">
        <w:t xml:space="preserve"> but due to </w:t>
      </w:r>
      <w:r w:rsidR="00C430D2">
        <w:t>traine</w:t>
      </w:r>
      <w:r w:rsidR="00EC7A7F">
        <w:t>e</w:t>
      </w:r>
      <w:r w:rsidR="00C430D2">
        <w:t>s in the pipeline</w:t>
      </w:r>
      <w:r w:rsidR="005A1C84">
        <w:t>, no net loss of driving staff is projected for Spring 2022.</w:t>
      </w:r>
      <w:r w:rsidR="007F2519">
        <w:t xml:space="preserve"> </w:t>
      </w:r>
      <w:r w:rsidR="00C430D2">
        <w:t xml:space="preserve"> </w:t>
      </w:r>
    </w:p>
    <w:p w14:paraId="0BA77AD9" w14:textId="77777777" w:rsidR="00ED239B" w:rsidRDefault="00ED239B" w:rsidP="00ED239B">
      <w:pPr>
        <w:spacing w:line="240" w:lineRule="auto"/>
      </w:pPr>
      <w:r>
        <w:t>Other Updates:</w:t>
      </w:r>
    </w:p>
    <w:p w14:paraId="1DEF4CBE" w14:textId="77777777" w:rsidR="000B5A28" w:rsidRDefault="00ED239B" w:rsidP="000B5A28">
      <w:pPr>
        <w:pStyle w:val="ListParagraph"/>
        <w:numPr>
          <w:ilvl w:val="0"/>
          <w:numId w:val="3"/>
        </w:numPr>
        <w:spacing w:line="240" w:lineRule="auto"/>
      </w:pPr>
      <w:r>
        <w:t xml:space="preserve">Afton Express </w:t>
      </w:r>
      <w:r w:rsidR="00736DC9">
        <w:t>is performing above expectations</w:t>
      </w:r>
      <w:r w:rsidR="006F3EF6">
        <w:t xml:space="preserve"> </w:t>
      </w:r>
      <w:r w:rsidR="0092373C">
        <w:t>with approximately 500 boardings per month</w:t>
      </w:r>
      <w:r w:rsidR="00DB1AE2">
        <w:t xml:space="preserve"> </w:t>
      </w:r>
      <w:r w:rsidR="00FF6974">
        <w:t>and steady growth after fares were imposed on October 1. T</w:t>
      </w:r>
      <w:r w:rsidR="00DB1AE2">
        <w:t xml:space="preserve">he equivalent of about 14-15 </w:t>
      </w:r>
      <w:r w:rsidR="00FF6974">
        <w:t>people are riding per day.</w:t>
      </w:r>
      <w:r w:rsidR="00736DC9">
        <w:t xml:space="preserve"> P&amp;T continues to work on promotions for UVA riders.</w:t>
      </w:r>
    </w:p>
    <w:p w14:paraId="048B1218" w14:textId="4C21FC6E" w:rsidR="000B5A28" w:rsidRDefault="0011290A" w:rsidP="000B5A28">
      <w:pPr>
        <w:pStyle w:val="ListParagraph"/>
        <w:numPr>
          <w:ilvl w:val="0"/>
          <w:numId w:val="3"/>
        </w:numPr>
        <w:spacing w:line="240" w:lineRule="auto"/>
      </w:pPr>
      <w:r>
        <w:t>Regional Transit Vision survey is open for citizen input</w:t>
      </w:r>
      <w:r w:rsidR="00032DE3">
        <w:t>. See survey at this website:</w:t>
      </w:r>
      <w:r w:rsidR="000B5A28">
        <w:t xml:space="preserve"> </w:t>
      </w:r>
      <w:hyperlink r:id="rId7" w:history="1">
        <w:r w:rsidR="000B5A28">
          <w:rPr>
            <w:rStyle w:val="Hyperlink"/>
          </w:rPr>
          <w:t>www.tinyurl.com/transitvision</w:t>
        </w:r>
      </w:hyperlink>
      <w:r w:rsidR="000B5A28">
        <w:t xml:space="preserve"> </w:t>
      </w:r>
    </w:p>
    <w:p w14:paraId="002E7B5D" w14:textId="03AF6343" w:rsidR="00F24784" w:rsidRDefault="00F24784" w:rsidP="00EC1991">
      <w:pPr>
        <w:pStyle w:val="ListParagraph"/>
        <w:numPr>
          <w:ilvl w:val="0"/>
          <w:numId w:val="3"/>
        </w:numPr>
        <w:spacing w:line="240" w:lineRule="auto"/>
      </w:pPr>
      <w:r>
        <w:t>Saliva Screening Clinic</w:t>
      </w:r>
      <w:r w:rsidR="00EC1991">
        <w:t>s demobilized in the Emmet/Ivy Garage</w:t>
      </w:r>
      <w:r w:rsidR="00362E9E">
        <w:t xml:space="preserve"> on December 17</w:t>
      </w:r>
      <w:r w:rsidR="00181945">
        <w:t>. No further impact on parking anticipated for Spring 2022 and beyond.</w:t>
      </w:r>
    </w:p>
    <w:p w14:paraId="6020B400" w14:textId="11C22315" w:rsidR="00062E99" w:rsidRDefault="006C0CF4" w:rsidP="006D4153">
      <w:pPr>
        <w:spacing w:line="240" w:lineRule="auto"/>
        <w:contextualSpacing/>
      </w:pPr>
      <w:r>
        <w:t xml:space="preserve">FY23 </w:t>
      </w:r>
      <w:r w:rsidR="00F24784">
        <w:t>Budget</w:t>
      </w:r>
      <w:r>
        <w:t>s</w:t>
      </w:r>
      <w:r w:rsidR="00F24784">
        <w:t>:</w:t>
      </w:r>
      <w:r w:rsidR="006D4153">
        <w:t xml:space="preserve"> </w:t>
      </w:r>
      <w:r w:rsidR="006D628D">
        <w:t>P&amp;T budget submission was due</w:t>
      </w:r>
      <w:r w:rsidR="00F745BF">
        <w:t xml:space="preserve"> to chain of command</w:t>
      </w:r>
      <w:r w:rsidR="006D628D">
        <w:t xml:space="preserve"> </w:t>
      </w:r>
      <w:r w:rsidR="00D029D1">
        <w:t>in November</w:t>
      </w:r>
      <w:r w:rsidR="00F745BF">
        <w:t xml:space="preserve"> with formal submission in December/January</w:t>
      </w:r>
      <w:r w:rsidR="00D029D1">
        <w:t xml:space="preserve">. </w:t>
      </w:r>
      <w:r w:rsidR="00062E99">
        <w:t xml:space="preserve">Defining elements of the </w:t>
      </w:r>
      <w:r w:rsidR="00F745BF">
        <w:t xml:space="preserve">proposed </w:t>
      </w:r>
      <w:r w:rsidR="00062E99">
        <w:t>FY23 P&amp;T budget:</w:t>
      </w:r>
    </w:p>
    <w:p w14:paraId="61A6572A" w14:textId="241CA0F6" w:rsidR="00062E99" w:rsidRDefault="00BF0AB3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Starting Fall 202</w:t>
      </w:r>
      <w:r w:rsidR="000261C9">
        <w:rPr>
          <w:rFonts w:eastAsia="Times New Roman"/>
        </w:rPr>
        <w:t>2</w:t>
      </w:r>
      <w:r>
        <w:rPr>
          <w:rFonts w:eastAsia="Times New Roman"/>
        </w:rPr>
        <w:t>, r</w:t>
      </w:r>
      <w:r w:rsidR="00062E99">
        <w:rPr>
          <w:rFonts w:eastAsia="Times New Roman"/>
        </w:rPr>
        <w:t xml:space="preserve">estore UTS service hours during academic session to deliver weekday 10-minute headways and weekend 20-minute headways. </w:t>
      </w:r>
    </w:p>
    <w:p w14:paraId="456AC711" w14:textId="0EE98FFF" w:rsidR="00062E99" w:rsidRDefault="00062E99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Overhaul compensation structure for UTS drivers and all associated staff to recognize market conditions and address desperate recruitment and retention issues for all positions. </w:t>
      </w:r>
    </w:p>
    <w:p w14:paraId="2C63A4BA" w14:textId="77777777" w:rsidR="00062E99" w:rsidRDefault="00062E99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Retain flexible parking options available for purchase by the hour, day, multi-day.</w:t>
      </w:r>
    </w:p>
    <w:p w14:paraId="4AAAA6F2" w14:textId="77777777" w:rsidR="00062E99" w:rsidRDefault="00062E99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 in-person customer service by appointment.</w:t>
      </w:r>
    </w:p>
    <w:p w14:paraId="0FD36F6E" w14:textId="1E319B19" w:rsidR="00062E99" w:rsidRDefault="00062E99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Shift</w:t>
      </w:r>
      <w:r w:rsidR="00DE1FFA">
        <w:rPr>
          <w:rFonts w:eastAsia="Times New Roman"/>
        </w:rPr>
        <w:t xml:space="preserve"> vehicle</w:t>
      </w:r>
      <w:r>
        <w:rPr>
          <w:rFonts w:eastAsia="Times New Roman"/>
        </w:rPr>
        <w:t xml:space="preserve"> maintenance shop operations and personnel toward EV fleet. Continue to phase out gas vehicle maintenance.</w:t>
      </w:r>
    </w:p>
    <w:p w14:paraId="1EDAE90E" w14:textId="44994804" w:rsidR="00062E99" w:rsidRDefault="00F0142C" w:rsidP="006D4153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Start diesel transit fleet replacement with </w:t>
      </w:r>
      <w:r w:rsidR="00062E99">
        <w:rPr>
          <w:rFonts w:eastAsia="Times New Roman"/>
        </w:rPr>
        <w:t xml:space="preserve">EV transit </w:t>
      </w:r>
      <w:r>
        <w:rPr>
          <w:rFonts w:eastAsia="Times New Roman"/>
        </w:rPr>
        <w:t>fleet</w:t>
      </w:r>
      <w:r w:rsidR="008E4432">
        <w:rPr>
          <w:rFonts w:eastAsia="Times New Roman"/>
        </w:rPr>
        <w:t>.</w:t>
      </w:r>
      <w:r w:rsidR="00062E99">
        <w:rPr>
          <w:rFonts w:eastAsia="Times New Roman"/>
        </w:rPr>
        <w:t xml:space="preserve"> </w:t>
      </w:r>
    </w:p>
    <w:p w14:paraId="554325A9" w14:textId="136C078A" w:rsidR="00062E99" w:rsidRPr="00D3411C" w:rsidRDefault="00DE1FFA" w:rsidP="00D3411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Proposed p</w:t>
      </w:r>
      <w:r w:rsidR="00062E99" w:rsidRPr="00D3411C">
        <w:rPr>
          <w:rFonts w:eastAsia="Times New Roman"/>
        </w:rPr>
        <w:t>arking rates:</w:t>
      </w:r>
    </w:p>
    <w:p w14:paraId="0C08AC79" w14:textId="3269F24E" w:rsidR="00062E99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Annual permit</w:t>
      </w:r>
      <w:r w:rsidR="00D50FE1">
        <w:rPr>
          <w:rFonts w:eastAsia="Times New Roman"/>
        </w:rPr>
        <w:t xml:space="preserve"> - </w:t>
      </w:r>
      <w:r>
        <w:rPr>
          <w:rFonts w:eastAsia="Times New Roman"/>
        </w:rPr>
        <w:t>low</w:t>
      </w:r>
      <w:r w:rsidR="00D50FE1">
        <w:rPr>
          <w:rFonts w:eastAsia="Times New Roman"/>
        </w:rPr>
        <w:t>-</w:t>
      </w:r>
      <w:r>
        <w:rPr>
          <w:rFonts w:eastAsia="Times New Roman"/>
        </w:rPr>
        <w:t xml:space="preserve">cost </w:t>
      </w:r>
      <w:r w:rsidR="008E4432">
        <w:rPr>
          <w:rFonts w:eastAsia="Times New Roman"/>
        </w:rPr>
        <w:t xml:space="preserve">increases </w:t>
      </w:r>
      <w:r>
        <w:rPr>
          <w:rFonts w:eastAsia="Times New Roman"/>
        </w:rPr>
        <w:t xml:space="preserve">$1/month from $26 to $27/month. </w:t>
      </w:r>
    </w:p>
    <w:p w14:paraId="43CD5CE6" w14:textId="25816484" w:rsidR="00062E99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Annual permit</w:t>
      </w:r>
      <w:r w:rsidR="00D50FE1">
        <w:rPr>
          <w:rFonts w:eastAsia="Times New Roman"/>
        </w:rPr>
        <w:t xml:space="preserve"> - </w:t>
      </w:r>
      <w:r>
        <w:rPr>
          <w:rFonts w:eastAsia="Times New Roman"/>
        </w:rPr>
        <w:t>mid</w:t>
      </w:r>
      <w:r w:rsidR="00D50FE1">
        <w:rPr>
          <w:rFonts w:eastAsia="Times New Roman"/>
        </w:rPr>
        <w:t>-</w:t>
      </w:r>
      <w:r>
        <w:rPr>
          <w:rFonts w:eastAsia="Times New Roman"/>
        </w:rPr>
        <w:t xml:space="preserve">cost </w:t>
      </w:r>
      <w:r w:rsidR="008E4432">
        <w:rPr>
          <w:rFonts w:eastAsia="Times New Roman"/>
        </w:rPr>
        <w:t xml:space="preserve">increases </w:t>
      </w:r>
      <w:r>
        <w:rPr>
          <w:rFonts w:eastAsia="Times New Roman"/>
        </w:rPr>
        <w:t xml:space="preserve">$3/month from $58 to $61/month. </w:t>
      </w:r>
    </w:p>
    <w:p w14:paraId="3E8E45AF" w14:textId="6FF9EF0C" w:rsidR="00D3411C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Annual permit</w:t>
      </w:r>
      <w:r w:rsidR="00D50FE1">
        <w:rPr>
          <w:rFonts w:eastAsia="Times New Roman"/>
        </w:rPr>
        <w:t xml:space="preserve"> - </w:t>
      </w:r>
      <w:r>
        <w:rPr>
          <w:rFonts w:eastAsia="Times New Roman"/>
        </w:rPr>
        <w:t>high</w:t>
      </w:r>
      <w:r w:rsidR="00D50FE1">
        <w:rPr>
          <w:rFonts w:eastAsia="Times New Roman"/>
        </w:rPr>
        <w:t>-</w:t>
      </w:r>
      <w:r>
        <w:rPr>
          <w:rFonts w:eastAsia="Times New Roman"/>
        </w:rPr>
        <w:t xml:space="preserve">cost </w:t>
      </w:r>
      <w:r w:rsidR="008E4432">
        <w:rPr>
          <w:rFonts w:eastAsia="Times New Roman"/>
        </w:rPr>
        <w:t xml:space="preserve">increases </w:t>
      </w:r>
      <w:r>
        <w:rPr>
          <w:rFonts w:eastAsia="Times New Roman"/>
        </w:rPr>
        <w:t xml:space="preserve">$1/month from $66 to $67/month. </w:t>
      </w:r>
    </w:p>
    <w:p w14:paraId="731431E6" w14:textId="506DB9D8" w:rsidR="00D3411C" w:rsidRDefault="00D3411C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FY23 is year 3 of a 6</w:t>
      </w:r>
      <w:r w:rsidR="00D50FE1">
        <w:rPr>
          <w:rFonts w:eastAsia="Times New Roman"/>
        </w:rPr>
        <w:t>-</w:t>
      </w:r>
      <w:r>
        <w:rPr>
          <w:rFonts w:eastAsia="Times New Roman"/>
        </w:rPr>
        <w:t>year effort to converge</w:t>
      </w:r>
      <w:r w:rsidR="000A7AF2">
        <w:rPr>
          <w:rFonts w:eastAsia="Times New Roman"/>
        </w:rPr>
        <w:t xml:space="preserve"> mid and high</w:t>
      </w:r>
      <w:r w:rsidR="00576616">
        <w:rPr>
          <w:rFonts w:eastAsia="Times New Roman"/>
        </w:rPr>
        <w:t>-</w:t>
      </w:r>
      <w:r w:rsidR="000A7AF2">
        <w:rPr>
          <w:rFonts w:eastAsia="Times New Roman"/>
        </w:rPr>
        <w:t>cost rates</w:t>
      </w:r>
      <w:r>
        <w:rPr>
          <w:rFonts w:eastAsia="Times New Roman"/>
        </w:rPr>
        <w:t>.</w:t>
      </w:r>
    </w:p>
    <w:p w14:paraId="7C0EB94B" w14:textId="096C28A7" w:rsidR="00062E99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Student Resident Permits and Family Housing residents – no change </w:t>
      </w:r>
      <w:r w:rsidR="00916F9E">
        <w:rPr>
          <w:rFonts w:eastAsia="Times New Roman"/>
        </w:rPr>
        <w:t xml:space="preserve">from </w:t>
      </w:r>
      <w:r>
        <w:rPr>
          <w:rFonts w:eastAsia="Times New Roman"/>
        </w:rPr>
        <w:t>$50/month and $12/month respectively</w:t>
      </w:r>
      <w:r w:rsidR="00916F9E">
        <w:rPr>
          <w:rFonts w:eastAsia="Times New Roman"/>
        </w:rPr>
        <w:t>.</w:t>
      </w:r>
    </w:p>
    <w:p w14:paraId="5BE779CA" w14:textId="01FEF186" w:rsidR="00062E99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Citation Fines - Level one and two fines </w:t>
      </w:r>
      <w:r w:rsidR="00916F9E">
        <w:rPr>
          <w:rFonts w:eastAsia="Times New Roman"/>
        </w:rPr>
        <w:t xml:space="preserve">increase </w:t>
      </w:r>
      <w:r>
        <w:rPr>
          <w:rFonts w:eastAsia="Times New Roman"/>
        </w:rPr>
        <w:t xml:space="preserve">$5 from $45 and $55 to $50 and $60 respectively, level three fines </w:t>
      </w:r>
      <w:r w:rsidR="00916F9E">
        <w:rPr>
          <w:rFonts w:eastAsia="Times New Roman"/>
        </w:rPr>
        <w:t xml:space="preserve">increase </w:t>
      </w:r>
      <w:r>
        <w:rPr>
          <w:rFonts w:eastAsia="Times New Roman"/>
        </w:rPr>
        <w:t xml:space="preserve">$50 from $250 to $300. </w:t>
      </w:r>
    </w:p>
    <w:p w14:paraId="5A382AD9" w14:textId="2F233EF2" w:rsidR="00062E99" w:rsidRDefault="00062E99" w:rsidP="00D3411C">
      <w:pPr>
        <w:numPr>
          <w:ilvl w:val="0"/>
          <w:numId w:val="1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Hourly rates - no change </w:t>
      </w:r>
      <w:r w:rsidR="00916F9E">
        <w:rPr>
          <w:rFonts w:eastAsia="Times New Roman"/>
        </w:rPr>
        <w:t xml:space="preserve">from </w:t>
      </w:r>
      <w:r>
        <w:rPr>
          <w:rFonts w:eastAsia="Times New Roman"/>
        </w:rPr>
        <w:t>$1.50 to $2.50 per hour depending on location and time of day.</w:t>
      </w:r>
    </w:p>
    <w:p w14:paraId="37D0B953" w14:textId="1E7D19C8" w:rsidR="00062E99" w:rsidRDefault="00062E99" w:rsidP="004A414A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Student Bus Fees</w:t>
      </w:r>
      <w:r w:rsidR="000A7AF2">
        <w:rPr>
          <w:rFonts w:eastAsia="Times New Roman"/>
        </w:rPr>
        <w:t>:</w:t>
      </w:r>
      <w:r>
        <w:rPr>
          <w:rFonts w:eastAsia="Times New Roman"/>
        </w:rPr>
        <w:t xml:space="preserve"> assumes </w:t>
      </w:r>
      <w:r w:rsidR="000A7AF2">
        <w:rPr>
          <w:rFonts w:eastAsia="Times New Roman"/>
        </w:rPr>
        <w:t xml:space="preserve">BOV </w:t>
      </w:r>
      <w:r>
        <w:rPr>
          <w:rFonts w:eastAsia="Times New Roman"/>
        </w:rPr>
        <w:t>approval of 6% fee increase</w:t>
      </w:r>
      <w:r w:rsidR="00F657D6">
        <w:rPr>
          <w:rFonts w:eastAsia="Times New Roman"/>
        </w:rPr>
        <w:t xml:space="preserve"> (0% in FY22)</w:t>
      </w:r>
      <w:r w:rsidR="001851D3">
        <w:rPr>
          <w:rFonts w:eastAsia="Times New Roman"/>
        </w:rPr>
        <w:t>.</w:t>
      </w:r>
    </w:p>
    <w:p w14:paraId="7EB9B5F7" w14:textId="54EB8139" w:rsidR="001851D3" w:rsidRDefault="001851D3" w:rsidP="004A414A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Safe Ride Fees: no change</w:t>
      </w:r>
    </w:p>
    <w:p w14:paraId="41D7BA27" w14:textId="77777777" w:rsidR="00F657D6" w:rsidRDefault="00F657D6" w:rsidP="00604166">
      <w:pPr>
        <w:spacing w:line="240" w:lineRule="auto"/>
      </w:pPr>
    </w:p>
    <w:p w14:paraId="1718D0C1" w14:textId="7A62F82C" w:rsidR="00F24784" w:rsidRDefault="00F24784" w:rsidP="00604166">
      <w:pPr>
        <w:spacing w:line="240" w:lineRule="auto"/>
      </w:pPr>
      <w:r>
        <w:t xml:space="preserve">Construction and Project Updates as of </w:t>
      </w:r>
      <w:r w:rsidR="00576616">
        <w:t>December</w:t>
      </w:r>
      <w:r w:rsidR="00604166">
        <w:t xml:space="preserve"> </w:t>
      </w:r>
      <w:r>
        <w:t xml:space="preserve">2021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F24784" w14:paraId="289B9CE6" w14:textId="77777777" w:rsidTr="00AE265C">
        <w:tc>
          <w:tcPr>
            <w:tcW w:w="2515" w:type="dxa"/>
          </w:tcPr>
          <w:p w14:paraId="2E0D3849" w14:textId="77777777" w:rsidR="00F24784" w:rsidRDefault="00F24784" w:rsidP="00AE265C">
            <w:pPr>
              <w:contextualSpacing/>
            </w:pPr>
            <w:r>
              <w:t>Project</w:t>
            </w:r>
          </w:p>
        </w:tc>
        <w:tc>
          <w:tcPr>
            <w:tcW w:w="6930" w:type="dxa"/>
          </w:tcPr>
          <w:p w14:paraId="4C350207" w14:textId="77777777" w:rsidR="00F24784" w:rsidRDefault="00F24784" w:rsidP="00AE265C">
            <w:pPr>
              <w:contextualSpacing/>
            </w:pPr>
            <w:r>
              <w:t>Status and Notes</w:t>
            </w:r>
          </w:p>
        </w:tc>
      </w:tr>
      <w:tr w:rsidR="00F24784" w14:paraId="096F3769" w14:textId="77777777" w:rsidTr="00AE265C">
        <w:tc>
          <w:tcPr>
            <w:tcW w:w="2515" w:type="dxa"/>
          </w:tcPr>
          <w:p w14:paraId="7A04E21D" w14:textId="77777777" w:rsidR="00F24784" w:rsidRDefault="00F24784" w:rsidP="00AE265C">
            <w:pPr>
              <w:contextualSpacing/>
            </w:pPr>
            <w:r>
              <w:t xml:space="preserve">Contemplative Commons </w:t>
            </w:r>
          </w:p>
        </w:tc>
        <w:tc>
          <w:tcPr>
            <w:tcW w:w="6930" w:type="dxa"/>
          </w:tcPr>
          <w:p w14:paraId="28636D92" w14:textId="0EE9EBE7" w:rsidR="00F24784" w:rsidRDefault="007B1700" w:rsidP="00AE265C">
            <w:pPr>
              <w:contextualSpacing/>
            </w:pPr>
            <w:r>
              <w:t>Underway with c</w:t>
            </w:r>
            <w:r w:rsidR="00C5374A">
              <w:t xml:space="preserve">ompletion estimated </w:t>
            </w:r>
            <w:r w:rsidR="00467B1B">
              <w:t xml:space="preserve">November </w:t>
            </w:r>
            <w:r w:rsidR="00C5374A">
              <w:t xml:space="preserve">2023. </w:t>
            </w:r>
            <w:r w:rsidR="002739EF">
              <w:t>Displaced p</w:t>
            </w:r>
            <w:r w:rsidR="00547419">
              <w:t xml:space="preserve">ermit holders </w:t>
            </w:r>
            <w:r w:rsidR="002A6AF9">
              <w:t>relocated.</w:t>
            </w:r>
            <w:r w:rsidR="00547419">
              <w:t xml:space="preserve"> </w:t>
            </w:r>
            <w:r w:rsidR="003B5EDA">
              <w:t>Bus stops on McCormick Road at Ridley Hall and Central Grounds Garage relocated</w:t>
            </w:r>
            <w:r w:rsidR="002739EF">
              <w:t xml:space="preserve"> to the south</w:t>
            </w:r>
            <w:r w:rsidR="003B5EDA">
              <w:t>.</w:t>
            </w:r>
            <w:r w:rsidR="007575EC">
              <w:t xml:space="preserve"> </w:t>
            </w:r>
          </w:p>
        </w:tc>
      </w:tr>
      <w:tr w:rsidR="00F24784" w14:paraId="38F0CE86" w14:textId="77777777" w:rsidTr="00AE265C">
        <w:tc>
          <w:tcPr>
            <w:tcW w:w="2515" w:type="dxa"/>
          </w:tcPr>
          <w:p w14:paraId="4CD7A02C" w14:textId="77777777" w:rsidR="00F24784" w:rsidRDefault="00F24784" w:rsidP="00AE265C">
            <w:pPr>
              <w:contextualSpacing/>
            </w:pPr>
            <w:r>
              <w:t>North Grounds Parking Garage Study</w:t>
            </w:r>
          </w:p>
        </w:tc>
        <w:tc>
          <w:tcPr>
            <w:tcW w:w="6930" w:type="dxa"/>
          </w:tcPr>
          <w:p w14:paraId="072887DD" w14:textId="584AD7A4" w:rsidR="00F24784" w:rsidRDefault="00B72C02" w:rsidP="00AE265C">
            <w:pPr>
              <w:contextualSpacing/>
            </w:pPr>
            <w:r>
              <w:t xml:space="preserve">Submitted </w:t>
            </w:r>
            <w:r w:rsidR="007E01D8">
              <w:t>for consideration as a Capital Project</w:t>
            </w:r>
            <w:r w:rsidR="00435E16">
              <w:t xml:space="preserve">. If approved, estimated completion </w:t>
            </w:r>
            <w:r w:rsidR="006B7622">
              <w:t xml:space="preserve">in </w:t>
            </w:r>
            <w:r w:rsidR="00435E16">
              <w:t>2025 at a cost of $55M (</w:t>
            </w:r>
            <w:r w:rsidR="006B7622">
              <w:t xml:space="preserve">one third to one half from P&amp;T resources). </w:t>
            </w:r>
            <w:r w:rsidR="00435E16">
              <w:t xml:space="preserve"> </w:t>
            </w:r>
          </w:p>
        </w:tc>
      </w:tr>
      <w:tr w:rsidR="00F24784" w14:paraId="456F5CE2" w14:textId="77777777" w:rsidTr="00AE265C">
        <w:tc>
          <w:tcPr>
            <w:tcW w:w="2515" w:type="dxa"/>
          </w:tcPr>
          <w:p w14:paraId="092FCF16" w14:textId="77777777" w:rsidR="00F24784" w:rsidRDefault="00F24784" w:rsidP="00AE265C">
            <w:pPr>
              <w:contextualSpacing/>
            </w:pPr>
            <w:r>
              <w:t>Electric Transit Buses</w:t>
            </w:r>
          </w:p>
        </w:tc>
        <w:tc>
          <w:tcPr>
            <w:tcW w:w="6930" w:type="dxa"/>
          </w:tcPr>
          <w:p w14:paraId="0A2841C2" w14:textId="6BBA2A13" w:rsidR="00F24784" w:rsidRDefault="00E52754" w:rsidP="00AE265C">
            <w:pPr>
              <w:contextualSpacing/>
            </w:pPr>
            <w:r>
              <w:t xml:space="preserve">First order </w:t>
            </w:r>
            <w:r w:rsidR="006D47AF">
              <w:t xml:space="preserve">of 4 buses </w:t>
            </w:r>
            <w:r>
              <w:t xml:space="preserve">expected January 2022. Delivery </w:t>
            </w:r>
            <w:r w:rsidR="00B673F4">
              <w:t>expected summer 2023.</w:t>
            </w:r>
          </w:p>
        </w:tc>
      </w:tr>
      <w:tr w:rsidR="00F24784" w14:paraId="5B4D2590" w14:textId="77777777" w:rsidTr="00AE265C">
        <w:tc>
          <w:tcPr>
            <w:tcW w:w="2515" w:type="dxa"/>
          </w:tcPr>
          <w:p w14:paraId="40B01F03" w14:textId="0C0D41EA" w:rsidR="00F24784" w:rsidRDefault="00B673F4" w:rsidP="00AE265C">
            <w:pPr>
              <w:contextualSpacing/>
            </w:pPr>
            <w:r>
              <w:t>Emmet/Ivy Garage</w:t>
            </w:r>
            <w:r w:rsidR="00F24784">
              <w:t xml:space="preserve"> Renovation</w:t>
            </w:r>
          </w:p>
        </w:tc>
        <w:tc>
          <w:tcPr>
            <w:tcW w:w="6930" w:type="dxa"/>
          </w:tcPr>
          <w:p w14:paraId="3FA29579" w14:textId="39D502CD" w:rsidR="00F24784" w:rsidRDefault="00436910" w:rsidP="00AE265C">
            <w:pPr>
              <w:contextualSpacing/>
            </w:pPr>
            <w:r>
              <w:t>M</w:t>
            </w:r>
            <w:r w:rsidR="00B673F4">
              <w:t xml:space="preserve">obilized. </w:t>
            </w:r>
            <w:r>
              <w:t>No p</w:t>
            </w:r>
            <w:r w:rsidR="00B673F4">
              <w:t>ermit holder relocations</w:t>
            </w:r>
            <w:r w:rsidR="00762C1A">
              <w:t xml:space="preserve"> </w:t>
            </w:r>
            <w:r>
              <w:t>necessary. Completion in January/February 2022.</w:t>
            </w:r>
            <w:r w:rsidR="007B1700">
              <w:t xml:space="preserve"> This project will be removed from future updates.</w:t>
            </w:r>
          </w:p>
        </w:tc>
      </w:tr>
      <w:tr w:rsidR="00F24784" w14:paraId="04386A3E" w14:textId="77777777" w:rsidTr="00AE265C">
        <w:tc>
          <w:tcPr>
            <w:tcW w:w="2515" w:type="dxa"/>
          </w:tcPr>
          <w:p w14:paraId="57E1536B" w14:textId="77777777" w:rsidR="00F24784" w:rsidRDefault="00F24784" w:rsidP="00AE265C">
            <w:pPr>
              <w:contextualSpacing/>
            </w:pPr>
            <w:r>
              <w:t xml:space="preserve">Ivy Corridor </w:t>
            </w:r>
          </w:p>
        </w:tc>
        <w:tc>
          <w:tcPr>
            <w:tcW w:w="6930" w:type="dxa"/>
          </w:tcPr>
          <w:p w14:paraId="7A4A01EA" w14:textId="08660C9B" w:rsidR="00F24784" w:rsidRDefault="00F24784" w:rsidP="00AE265C">
            <w:pPr>
              <w:contextualSpacing/>
            </w:pPr>
            <w:r>
              <w:t xml:space="preserve">6 overlapping projects </w:t>
            </w:r>
            <w:r w:rsidR="003A7034">
              <w:t>will bring m</w:t>
            </w:r>
            <w:r>
              <w:t xml:space="preserve">any years of </w:t>
            </w:r>
            <w:r w:rsidR="003A7034">
              <w:t>to the Emmet/Ivy/Rothery</w:t>
            </w:r>
            <w:r>
              <w:t>.</w:t>
            </w:r>
            <w:r w:rsidR="005611BB">
              <w:t xml:space="preserve"> First impact on parking inventory expected when the Hotel and Conference Center and the School of Data Science open in </w:t>
            </w:r>
            <w:r w:rsidR="005D0AB6">
              <w:t>2024 or 2025.</w:t>
            </w:r>
          </w:p>
        </w:tc>
      </w:tr>
      <w:tr w:rsidR="00F24784" w14:paraId="0DA3CBB2" w14:textId="77777777" w:rsidTr="00AE265C">
        <w:tc>
          <w:tcPr>
            <w:tcW w:w="2515" w:type="dxa"/>
          </w:tcPr>
          <w:p w14:paraId="0350864C" w14:textId="77777777" w:rsidR="00F24784" w:rsidRDefault="00F24784" w:rsidP="00AE265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33CC6CF" w14:textId="699AD1FB" w:rsidR="00F24784" w:rsidRDefault="00A97D26" w:rsidP="00AE265C">
            <w:pPr>
              <w:contextualSpacing/>
            </w:pPr>
            <w:r>
              <w:t xml:space="preserve">Underway with completion anticipated summer 2023. </w:t>
            </w:r>
          </w:p>
        </w:tc>
      </w:tr>
      <w:tr w:rsidR="00F24784" w14:paraId="0CE16595" w14:textId="77777777" w:rsidTr="00AE265C">
        <w:tc>
          <w:tcPr>
            <w:tcW w:w="2515" w:type="dxa"/>
          </w:tcPr>
          <w:p w14:paraId="5FCA23A2" w14:textId="0C9CC7AE" w:rsidR="00F24784" w:rsidRDefault="00F24784" w:rsidP="00AE265C">
            <w:pPr>
              <w:contextualSpacing/>
            </w:pPr>
            <w:r>
              <w:t xml:space="preserve">McCormick Road </w:t>
            </w:r>
            <w:r w:rsidR="008E1334">
              <w:t>Access</w:t>
            </w:r>
            <w:r>
              <w:t xml:space="preserve"> </w:t>
            </w:r>
          </w:p>
        </w:tc>
        <w:tc>
          <w:tcPr>
            <w:tcW w:w="6930" w:type="dxa"/>
          </w:tcPr>
          <w:p w14:paraId="68C5F1FD" w14:textId="0E5688F2" w:rsidR="00F24784" w:rsidRDefault="00F24784" w:rsidP="00AE265C">
            <w:pPr>
              <w:contextualSpacing/>
            </w:pPr>
            <w:r>
              <w:t xml:space="preserve">Reconfiguration of the Chapel triangle </w:t>
            </w:r>
            <w:r w:rsidR="00DB737A">
              <w:t xml:space="preserve">and west end of McCormick Road under discussion and </w:t>
            </w:r>
            <w:r>
              <w:t>in design.</w:t>
            </w:r>
            <w:r w:rsidR="0059285D">
              <w:t xml:space="preserve"> </w:t>
            </w:r>
            <w:r w:rsidRPr="0059285D">
              <w:t>Drawings available upon request.</w:t>
            </w:r>
          </w:p>
        </w:tc>
      </w:tr>
      <w:tr w:rsidR="007117E9" w14:paraId="119FAC6F" w14:textId="77777777" w:rsidTr="00AE265C">
        <w:tc>
          <w:tcPr>
            <w:tcW w:w="2515" w:type="dxa"/>
          </w:tcPr>
          <w:p w14:paraId="6ABD5763" w14:textId="64C153F3" w:rsidR="007117E9" w:rsidRDefault="007117E9" w:rsidP="00AE265C">
            <w:pPr>
              <w:contextualSpacing/>
            </w:pPr>
            <w:r>
              <w:t>Utility Projects</w:t>
            </w:r>
          </w:p>
        </w:tc>
        <w:tc>
          <w:tcPr>
            <w:tcW w:w="6930" w:type="dxa"/>
          </w:tcPr>
          <w:p w14:paraId="7CCE4E52" w14:textId="375D0D3E" w:rsidR="007117E9" w:rsidRDefault="00167C0C" w:rsidP="00AE265C">
            <w:pPr>
              <w:contextualSpacing/>
            </w:pPr>
            <w:r>
              <w:t>Utility project impacts near south Newcomb Road and Goodwin Bridge will continue for several months.</w:t>
            </w:r>
          </w:p>
        </w:tc>
      </w:tr>
      <w:tr w:rsidR="007117E9" w14:paraId="03F01A3B" w14:textId="77777777" w:rsidTr="00AE265C">
        <w:tc>
          <w:tcPr>
            <w:tcW w:w="2515" w:type="dxa"/>
          </w:tcPr>
          <w:p w14:paraId="7BEABABF" w14:textId="3E75CB11" w:rsidR="007117E9" w:rsidRDefault="007117E9" w:rsidP="00AE265C">
            <w:pPr>
              <w:contextualSpacing/>
            </w:pPr>
            <w:r>
              <w:t>Football Operations</w:t>
            </w:r>
            <w:r w:rsidR="00167C0C">
              <w:t xml:space="preserve"> Building</w:t>
            </w:r>
          </w:p>
        </w:tc>
        <w:tc>
          <w:tcPr>
            <w:tcW w:w="6930" w:type="dxa"/>
          </w:tcPr>
          <w:p w14:paraId="770B34A8" w14:textId="34D6C0C2" w:rsidR="007117E9" w:rsidRDefault="00F61B7D" w:rsidP="00AE265C">
            <w:pPr>
              <w:contextualSpacing/>
            </w:pPr>
            <w:r>
              <w:t>Project impacts TBD.</w:t>
            </w:r>
          </w:p>
        </w:tc>
      </w:tr>
    </w:tbl>
    <w:p w14:paraId="3E02C378" w14:textId="77777777" w:rsidR="00F24784" w:rsidRDefault="00F24784" w:rsidP="00F24784"/>
    <w:p w14:paraId="0645329D" w14:textId="18EF8BFE" w:rsidR="006C0CF4" w:rsidRDefault="00F24784" w:rsidP="00F24784">
      <w:r>
        <w:lastRenderedPageBreak/>
        <w:t xml:space="preserve">Potential </w:t>
      </w:r>
      <w:r w:rsidR="00DF23C6">
        <w:t>Discussion</w:t>
      </w:r>
      <w:r w:rsidR="007E659A">
        <w:t xml:space="preserve"> </w:t>
      </w:r>
      <w:r w:rsidR="006C0CF4">
        <w:t>Topics for 2021/2022:</w:t>
      </w:r>
    </w:p>
    <w:p w14:paraId="6A3B64A3" w14:textId="76B6CCFE" w:rsidR="00032DE3" w:rsidRDefault="00032DE3" w:rsidP="00F24784">
      <w:pPr>
        <w:pStyle w:val="ListParagraph"/>
        <w:numPr>
          <w:ilvl w:val="0"/>
          <w:numId w:val="4"/>
        </w:numPr>
      </w:pPr>
      <w:r>
        <w:t>FY23 Budget</w:t>
      </w:r>
      <w:r w:rsidR="007E659A">
        <w:t xml:space="preserve"> and P&amp;T financial model</w:t>
      </w:r>
    </w:p>
    <w:p w14:paraId="1591E796" w14:textId="68084CF9" w:rsidR="00093C7F" w:rsidRDefault="00093C7F" w:rsidP="00F24784">
      <w:pPr>
        <w:pStyle w:val="ListParagraph"/>
        <w:numPr>
          <w:ilvl w:val="0"/>
          <w:numId w:val="4"/>
        </w:numPr>
      </w:pPr>
      <w:r>
        <w:t xml:space="preserve">McCormick Road </w:t>
      </w:r>
      <w:r w:rsidR="007E659A">
        <w:t xml:space="preserve">Institutional </w:t>
      </w:r>
      <w:r>
        <w:t>Priorities</w:t>
      </w:r>
      <w:r w:rsidR="007E659A">
        <w:t xml:space="preserve"> and Studies</w:t>
      </w:r>
    </w:p>
    <w:p w14:paraId="0DAADD68" w14:textId="07A41A93" w:rsidR="006D47AF" w:rsidRDefault="006D47AF" w:rsidP="00F24784">
      <w:pPr>
        <w:pStyle w:val="ListParagraph"/>
        <w:numPr>
          <w:ilvl w:val="0"/>
          <w:numId w:val="4"/>
        </w:numPr>
      </w:pPr>
      <w:r>
        <w:t>North Grounds Parking Garage Study</w:t>
      </w:r>
    </w:p>
    <w:p w14:paraId="0449019D" w14:textId="064FC5C6" w:rsidR="00F42922" w:rsidRDefault="007E659A" w:rsidP="00F42922">
      <w:pPr>
        <w:pStyle w:val="ListParagraph"/>
        <w:numPr>
          <w:ilvl w:val="0"/>
          <w:numId w:val="4"/>
        </w:numPr>
        <w:spacing w:line="240" w:lineRule="auto"/>
      </w:pPr>
      <w:r>
        <w:t>P&amp;T Communication Strategies</w:t>
      </w:r>
    </w:p>
    <w:sectPr w:rsidR="00F4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562C3"/>
    <w:multiLevelType w:val="hybridMultilevel"/>
    <w:tmpl w:val="3696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9D9"/>
    <w:multiLevelType w:val="hybridMultilevel"/>
    <w:tmpl w:val="C37E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A68"/>
    <w:multiLevelType w:val="hybridMultilevel"/>
    <w:tmpl w:val="69D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E4528"/>
    <w:multiLevelType w:val="hybridMultilevel"/>
    <w:tmpl w:val="425C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201C2"/>
    <w:multiLevelType w:val="hybridMultilevel"/>
    <w:tmpl w:val="E3BA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DB"/>
    <w:multiLevelType w:val="hybridMultilevel"/>
    <w:tmpl w:val="5B8E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2ED"/>
    <w:multiLevelType w:val="hybridMultilevel"/>
    <w:tmpl w:val="124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F4710"/>
    <w:multiLevelType w:val="hybridMultilevel"/>
    <w:tmpl w:val="CD3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663A"/>
    <w:multiLevelType w:val="hybridMultilevel"/>
    <w:tmpl w:val="E7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806">
    <w:abstractNumId w:val="8"/>
  </w:num>
  <w:num w:numId="2" w16cid:durableId="1371222888">
    <w:abstractNumId w:val="13"/>
  </w:num>
  <w:num w:numId="3" w16cid:durableId="1766607070">
    <w:abstractNumId w:val="5"/>
  </w:num>
  <w:num w:numId="4" w16cid:durableId="1353650170">
    <w:abstractNumId w:val="3"/>
  </w:num>
  <w:num w:numId="5" w16cid:durableId="1172986605">
    <w:abstractNumId w:val="0"/>
  </w:num>
  <w:num w:numId="6" w16cid:durableId="534195615">
    <w:abstractNumId w:val="11"/>
  </w:num>
  <w:num w:numId="7" w16cid:durableId="30600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73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522959">
    <w:abstractNumId w:val="2"/>
  </w:num>
  <w:num w:numId="10" w16cid:durableId="1880780361">
    <w:abstractNumId w:val="12"/>
  </w:num>
  <w:num w:numId="11" w16cid:durableId="1656180090">
    <w:abstractNumId w:val="9"/>
  </w:num>
  <w:num w:numId="12" w16cid:durableId="514655917">
    <w:abstractNumId w:val="4"/>
  </w:num>
  <w:num w:numId="13" w16cid:durableId="2118676523">
    <w:abstractNumId w:val="7"/>
  </w:num>
  <w:num w:numId="14" w16cid:durableId="13116850">
    <w:abstractNumId w:val="1"/>
  </w:num>
  <w:num w:numId="15" w16cid:durableId="2042242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14DF3"/>
    <w:rsid w:val="00023B3A"/>
    <w:rsid w:val="000261C9"/>
    <w:rsid w:val="00032DE3"/>
    <w:rsid w:val="00062E99"/>
    <w:rsid w:val="00065C7A"/>
    <w:rsid w:val="000825F1"/>
    <w:rsid w:val="00093C7F"/>
    <w:rsid w:val="000A366B"/>
    <w:rsid w:val="000A7AF2"/>
    <w:rsid w:val="000B5A28"/>
    <w:rsid w:val="000C5373"/>
    <w:rsid w:val="000C717E"/>
    <w:rsid w:val="000E1E32"/>
    <w:rsid w:val="000E6E8E"/>
    <w:rsid w:val="0011290A"/>
    <w:rsid w:val="0013533B"/>
    <w:rsid w:val="00167C0C"/>
    <w:rsid w:val="00173544"/>
    <w:rsid w:val="00176BF6"/>
    <w:rsid w:val="00181945"/>
    <w:rsid w:val="001851D3"/>
    <w:rsid w:val="001A62DE"/>
    <w:rsid w:val="001C04A7"/>
    <w:rsid w:val="001F3571"/>
    <w:rsid w:val="00206998"/>
    <w:rsid w:val="00210292"/>
    <w:rsid w:val="002103BD"/>
    <w:rsid w:val="00215BD1"/>
    <w:rsid w:val="0023232F"/>
    <w:rsid w:val="002739EF"/>
    <w:rsid w:val="0027453E"/>
    <w:rsid w:val="00275FB2"/>
    <w:rsid w:val="002810AB"/>
    <w:rsid w:val="00293458"/>
    <w:rsid w:val="00293A6D"/>
    <w:rsid w:val="002A6AF9"/>
    <w:rsid w:val="002C01A3"/>
    <w:rsid w:val="002F47B0"/>
    <w:rsid w:val="003040CB"/>
    <w:rsid w:val="00311150"/>
    <w:rsid w:val="00324AB1"/>
    <w:rsid w:val="003356A9"/>
    <w:rsid w:val="003414B4"/>
    <w:rsid w:val="003525F1"/>
    <w:rsid w:val="00362E9E"/>
    <w:rsid w:val="00367480"/>
    <w:rsid w:val="00370567"/>
    <w:rsid w:val="00374D4F"/>
    <w:rsid w:val="0038211C"/>
    <w:rsid w:val="003839E8"/>
    <w:rsid w:val="003A2417"/>
    <w:rsid w:val="003A47A3"/>
    <w:rsid w:val="003A7034"/>
    <w:rsid w:val="003B43CB"/>
    <w:rsid w:val="003B5EDA"/>
    <w:rsid w:val="003D1F65"/>
    <w:rsid w:val="003F0263"/>
    <w:rsid w:val="00417200"/>
    <w:rsid w:val="00435E16"/>
    <w:rsid w:val="00436910"/>
    <w:rsid w:val="00454B6E"/>
    <w:rsid w:val="00464D15"/>
    <w:rsid w:val="00466A7C"/>
    <w:rsid w:val="00467B1B"/>
    <w:rsid w:val="00490D2A"/>
    <w:rsid w:val="004A1867"/>
    <w:rsid w:val="004A414A"/>
    <w:rsid w:val="004A71B2"/>
    <w:rsid w:val="004F15EC"/>
    <w:rsid w:val="00506D81"/>
    <w:rsid w:val="00511A0C"/>
    <w:rsid w:val="005454B4"/>
    <w:rsid w:val="00547419"/>
    <w:rsid w:val="00553AD6"/>
    <w:rsid w:val="005611BB"/>
    <w:rsid w:val="0057246B"/>
    <w:rsid w:val="00572A26"/>
    <w:rsid w:val="00576616"/>
    <w:rsid w:val="005854D6"/>
    <w:rsid w:val="0059285D"/>
    <w:rsid w:val="00596730"/>
    <w:rsid w:val="005A1C84"/>
    <w:rsid w:val="005B57D8"/>
    <w:rsid w:val="005C6E0F"/>
    <w:rsid w:val="005D0AB6"/>
    <w:rsid w:val="00603763"/>
    <w:rsid w:val="00604166"/>
    <w:rsid w:val="00622F56"/>
    <w:rsid w:val="00624F4F"/>
    <w:rsid w:val="006251D6"/>
    <w:rsid w:val="00633426"/>
    <w:rsid w:val="00643195"/>
    <w:rsid w:val="00644CE9"/>
    <w:rsid w:val="00646A06"/>
    <w:rsid w:val="00651B7D"/>
    <w:rsid w:val="006554D7"/>
    <w:rsid w:val="00660BDB"/>
    <w:rsid w:val="006678A9"/>
    <w:rsid w:val="006751E0"/>
    <w:rsid w:val="00697FBF"/>
    <w:rsid w:val="006B060E"/>
    <w:rsid w:val="006B409C"/>
    <w:rsid w:val="006B6F1B"/>
    <w:rsid w:val="006B7622"/>
    <w:rsid w:val="006C0CF4"/>
    <w:rsid w:val="006D4153"/>
    <w:rsid w:val="006D47AF"/>
    <w:rsid w:val="006D5BA9"/>
    <w:rsid w:val="006D628D"/>
    <w:rsid w:val="006D6325"/>
    <w:rsid w:val="006E2B81"/>
    <w:rsid w:val="006E6CFF"/>
    <w:rsid w:val="006F3EF6"/>
    <w:rsid w:val="007117E9"/>
    <w:rsid w:val="00713AFC"/>
    <w:rsid w:val="00736DC9"/>
    <w:rsid w:val="00740614"/>
    <w:rsid w:val="007426E4"/>
    <w:rsid w:val="0075382C"/>
    <w:rsid w:val="007575EC"/>
    <w:rsid w:val="00761CBD"/>
    <w:rsid w:val="00762516"/>
    <w:rsid w:val="00762C1A"/>
    <w:rsid w:val="007748D2"/>
    <w:rsid w:val="007963EA"/>
    <w:rsid w:val="007A3649"/>
    <w:rsid w:val="007B1700"/>
    <w:rsid w:val="007B3BBB"/>
    <w:rsid w:val="007E01D8"/>
    <w:rsid w:val="007E32CC"/>
    <w:rsid w:val="007E659A"/>
    <w:rsid w:val="007F2519"/>
    <w:rsid w:val="007F33CF"/>
    <w:rsid w:val="00835C95"/>
    <w:rsid w:val="00845B1C"/>
    <w:rsid w:val="00847128"/>
    <w:rsid w:val="00847CAE"/>
    <w:rsid w:val="0085291C"/>
    <w:rsid w:val="00862C22"/>
    <w:rsid w:val="00881CEA"/>
    <w:rsid w:val="008948D2"/>
    <w:rsid w:val="008A6B50"/>
    <w:rsid w:val="008B287C"/>
    <w:rsid w:val="008D5A93"/>
    <w:rsid w:val="008E1334"/>
    <w:rsid w:val="008E4432"/>
    <w:rsid w:val="008E7203"/>
    <w:rsid w:val="009003F6"/>
    <w:rsid w:val="00903B33"/>
    <w:rsid w:val="00916F9E"/>
    <w:rsid w:val="0092373C"/>
    <w:rsid w:val="0092737B"/>
    <w:rsid w:val="00971210"/>
    <w:rsid w:val="009879D0"/>
    <w:rsid w:val="0099556B"/>
    <w:rsid w:val="009C1BC9"/>
    <w:rsid w:val="009E039C"/>
    <w:rsid w:val="009F1D14"/>
    <w:rsid w:val="00A01EB0"/>
    <w:rsid w:val="00A05D8F"/>
    <w:rsid w:val="00A45B31"/>
    <w:rsid w:val="00A62F89"/>
    <w:rsid w:val="00A7094C"/>
    <w:rsid w:val="00A77B7C"/>
    <w:rsid w:val="00A97D26"/>
    <w:rsid w:val="00AA6615"/>
    <w:rsid w:val="00AB2629"/>
    <w:rsid w:val="00AE2AB7"/>
    <w:rsid w:val="00AE57A3"/>
    <w:rsid w:val="00AF05BD"/>
    <w:rsid w:val="00AF5A1B"/>
    <w:rsid w:val="00B00B09"/>
    <w:rsid w:val="00B049CD"/>
    <w:rsid w:val="00B673F4"/>
    <w:rsid w:val="00B72C02"/>
    <w:rsid w:val="00B82455"/>
    <w:rsid w:val="00B9244A"/>
    <w:rsid w:val="00B92E3B"/>
    <w:rsid w:val="00BA10A4"/>
    <w:rsid w:val="00BA2B8E"/>
    <w:rsid w:val="00BA6C46"/>
    <w:rsid w:val="00BD427B"/>
    <w:rsid w:val="00BE6805"/>
    <w:rsid w:val="00BF0AB3"/>
    <w:rsid w:val="00BF77B5"/>
    <w:rsid w:val="00C1189C"/>
    <w:rsid w:val="00C430D2"/>
    <w:rsid w:val="00C53129"/>
    <w:rsid w:val="00C5374A"/>
    <w:rsid w:val="00C63CCC"/>
    <w:rsid w:val="00C73E3F"/>
    <w:rsid w:val="00C92D6D"/>
    <w:rsid w:val="00C9418C"/>
    <w:rsid w:val="00C94C96"/>
    <w:rsid w:val="00C954D6"/>
    <w:rsid w:val="00C974A8"/>
    <w:rsid w:val="00CA1EEF"/>
    <w:rsid w:val="00CA3340"/>
    <w:rsid w:val="00CA33C9"/>
    <w:rsid w:val="00CA6CDD"/>
    <w:rsid w:val="00CB69DB"/>
    <w:rsid w:val="00CE7814"/>
    <w:rsid w:val="00CF168E"/>
    <w:rsid w:val="00D029D1"/>
    <w:rsid w:val="00D13B94"/>
    <w:rsid w:val="00D155E9"/>
    <w:rsid w:val="00D17152"/>
    <w:rsid w:val="00D3411C"/>
    <w:rsid w:val="00D41662"/>
    <w:rsid w:val="00D50FE1"/>
    <w:rsid w:val="00D525C4"/>
    <w:rsid w:val="00D5529D"/>
    <w:rsid w:val="00D6043F"/>
    <w:rsid w:val="00D832F9"/>
    <w:rsid w:val="00D85D97"/>
    <w:rsid w:val="00DA2CBD"/>
    <w:rsid w:val="00DB1AE2"/>
    <w:rsid w:val="00DB737A"/>
    <w:rsid w:val="00DC2596"/>
    <w:rsid w:val="00DD0ADA"/>
    <w:rsid w:val="00DD4530"/>
    <w:rsid w:val="00DE1FFA"/>
    <w:rsid w:val="00DF23C6"/>
    <w:rsid w:val="00E067B4"/>
    <w:rsid w:val="00E2028C"/>
    <w:rsid w:val="00E230F5"/>
    <w:rsid w:val="00E23E75"/>
    <w:rsid w:val="00E300E9"/>
    <w:rsid w:val="00E52754"/>
    <w:rsid w:val="00E7179E"/>
    <w:rsid w:val="00E83C9D"/>
    <w:rsid w:val="00E91BE5"/>
    <w:rsid w:val="00E97422"/>
    <w:rsid w:val="00EC1991"/>
    <w:rsid w:val="00EC68CC"/>
    <w:rsid w:val="00EC7A7F"/>
    <w:rsid w:val="00ED239B"/>
    <w:rsid w:val="00EF3B97"/>
    <w:rsid w:val="00F004BC"/>
    <w:rsid w:val="00F0142C"/>
    <w:rsid w:val="00F05CD3"/>
    <w:rsid w:val="00F05E89"/>
    <w:rsid w:val="00F24784"/>
    <w:rsid w:val="00F42922"/>
    <w:rsid w:val="00F61B7D"/>
    <w:rsid w:val="00F657D6"/>
    <w:rsid w:val="00F65CB4"/>
    <w:rsid w:val="00F745BF"/>
    <w:rsid w:val="00F83433"/>
    <w:rsid w:val="00FD464B"/>
    <w:rsid w:val="00FF2CEF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nyurl.com/transit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ing.virginia.edu/service-schedule" TargetMode="External"/><Relationship Id="rId5" Type="http://schemas.openxmlformats.org/officeDocument/2006/relationships/hyperlink" Target="https://parking.virginia.edu/transportation-and-parking-committee-notes-and-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Friestad, Bria (baf9gb)</cp:lastModifiedBy>
  <cp:revision>2</cp:revision>
  <dcterms:created xsi:type="dcterms:W3CDTF">2022-11-10T16:04:00Z</dcterms:created>
  <dcterms:modified xsi:type="dcterms:W3CDTF">2022-11-10T16:04:00Z</dcterms:modified>
</cp:coreProperties>
</file>